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38" w:rsidRPr="002758FD" w:rsidRDefault="00394D9B" w:rsidP="00397338">
      <w:pPr>
        <w:ind w:left="-900"/>
        <w:rPr>
          <w:rFonts w:cs="Arial"/>
          <w:b/>
          <w:sz w:val="28"/>
          <w:szCs w:val="24"/>
        </w:rPr>
      </w:pPr>
      <w:r>
        <w:rPr>
          <w:rFonts w:cs="Arial"/>
          <w:b/>
          <w:noProof/>
          <w:sz w:val="28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8.75pt;margin-top:-30.75pt;width:290.25pt;height:1in;z-index:251657216;mso-width-relative:margin;mso-height-relative:margin" strokecolor="#95b3d7" strokeweight="1pt">
            <v:fill color2="#b8cce4" focusposition="1" focussize="" focus="100%" type="gradient"/>
            <v:shadow type="perspective" color="#243f60" opacity=".5" offset="1pt" offset2="-3pt"/>
            <v:textbox style="mso-next-textbox:#_x0000_s1028">
              <w:txbxContent>
                <w:p w:rsidR="00171DFB" w:rsidRPr="008E434E" w:rsidRDefault="00171DFB" w:rsidP="00FC543E">
                  <w:pPr>
                    <w:pStyle w:val="ListParagraph"/>
                    <w:spacing w:after="0" w:line="240" w:lineRule="auto"/>
                    <w:ind w:left="0"/>
                    <w:contextualSpacing w:val="0"/>
                    <w:rPr>
                      <w:b/>
                      <w:color w:val="000000"/>
                      <w:szCs w:val="20"/>
                    </w:rPr>
                  </w:pPr>
                  <w:r w:rsidRPr="008E434E">
                    <w:rPr>
                      <w:b/>
                      <w:color w:val="000000"/>
                      <w:szCs w:val="20"/>
                    </w:rPr>
                    <w:t>Assessment Codes</w:t>
                  </w:r>
                </w:p>
                <w:p w:rsidR="00171DFB" w:rsidRPr="00397338" w:rsidRDefault="00171DFB" w:rsidP="00FC543E">
                  <w:pPr>
                    <w:pStyle w:val="ListParagraph"/>
                    <w:spacing w:after="0" w:line="240" w:lineRule="auto"/>
                    <w:ind w:left="0"/>
                    <w:contextualSpacing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>We do not do this at all.</w:t>
                  </w:r>
                </w:p>
                <w:p w:rsidR="00171DFB" w:rsidRPr="00397338" w:rsidRDefault="00171DFB" w:rsidP="00FC543E">
                  <w:pPr>
                    <w:pStyle w:val="ListParagraph"/>
                    <w:tabs>
                      <w:tab w:val="left" w:pos="540"/>
                    </w:tabs>
                    <w:spacing w:after="0" w:line="240" w:lineRule="auto"/>
                    <w:ind w:left="0"/>
                    <w:contextualSpacing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 w:rsidRPr="00397338">
                    <w:rPr>
                      <w:color w:val="000000"/>
                      <w:sz w:val="20"/>
                      <w:szCs w:val="20"/>
                    </w:rPr>
                    <w:t xml:space="preserve">We do this </w:t>
                  </w:r>
                  <w:r>
                    <w:rPr>
                      <w:color w:val="000000"/>
                      <w:sz w:val="20"/>
                      <w:szCs w:val="20"/>
                    </w:rPr>
                    <w:t>very little or ir</w:t>
                  </w:r>
                  <w:r w:rsidRPr="00397338">
                    <w:rPr>
                      <w:color w:val="000000"/>
                      <w:sz w:val="20"/>
                      <w:szCs w:val="20"/>
                    </w:rPr>
                    <w:t>regularly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171DFB" w:rsidRPr="00C12587" w:rsidRDefault="00171DFB" w:rsidP="00FC543E">
                  <w:pPr>
                    <w:pStyle w:val="ListParagraph"/>
                    <w:tabs>
                      <w:tab w:val="left" w:pos="720"/>
                    </w:tabs>
                    <w:spacing w:after="0" w:line="240" w:lineRule="auto"/>
                    <w:ind w:left="0"/>
                    <w:contextualSpacing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>We practice this at times, but not regularly.</w:t>
                  </w:r>
                </w:p>
                <w:p w:rsidR="00171DFB" w:rsidRPr="00397338" w:rsidRDefault="00171DFB" w:rsidP="00FC543E">
                  <w:pPr>
                    <w:pStyle w:val="ListParagraph"/>
                    <w:tabs>
                      <w:tab w:val="left" w:pos="540"/>
                    </w:tabs>
                    <w:spacing w:after="0" w:line="240" w:lineRule="auto"/>
                    <w:ind w:left="0"/>
                    <w:contextualSpacing w:val="0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4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 xml:space="preserve">= </w:t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 w:rsidRPr="00397338">
                    <w:rPr>
                      <w:b/>
                      <w:color w:val="000000"/>
                      <w:sz w:val="20"/>
                      <w:szCs w:val="20"/>
                    </w:rPr>
                    <w:tab/>
                  </w:r>
                  <w:r w:rsidRPr="00397338">
                    <w:rPr>
                      <w:color w:val="000000"/>
                      <w:sz w:val="20"/>
                      <w:szCs w:val="20"/>
                    </w:rPr>
                    <w:t>We do this regularly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171DFB" w:rsidRPr="00397338" w:rsidRDefault="00171DFB" w:rsidP="00FC543E"/>
              </w:txbxContent>
            </v:textbox>
          </v:shape>
        </w:pict>
      </w:r>
      <w:r w:rsidR="00397338">
        <w:rPr>
          <w:rFonts w:cs="Arial"/>
          <w:b/>
          <w:noProof/>
          <w:sz w:val="28"/>
          <w:szCs w:val="24"/>
          <w:lang w:eastAsia="zh-TW"/>
        </w:rPr>
        <w:t>Practices</w:t>
      </w:r>
      <w:r w:rsidR="00397338">
        <w:rPr>
          <w:rFonts w:cs="Arial"/>
          <w:b/>
          <w:sz w:val="28"/>
          <w:szCs w:val="24"/>
        </w:rPr>
        <w:t xml:space="preserve"> of </w:t>
      </w:r>
      <w:r w:rsidR="00C12587">
        <w:rPr>
          <w:rFonts w:cs="Arial"/>
          <w:b/>
          <w:sz w:val="28"/>
          <w:szCs w:val="24"/>
        </w:rPr>
        <w:t>Adaptive Organizations</w:t>
      </w:r>
      <w:r w:rsidR="008E434E">
        <w:rPr>
          <w:rFonts w:cs="Arial"/>
          <w:b/>
          <w:sz w:val="28"/>
          <w:szCs w:val="24"/>
        </w:rPr>
        <w:t xml:space="preserve">: </w:t>
      </w:r>
      <w:r w:rsidR="00397338">
        <w:rPr>
          <w:rFonts w:cs="Arial"/>
          <w:b/>
          <w:sz w:val="28"/>
          <w:szCs w:val="24"/>
        </w:rPr>
        <w:br/>
      </w:r>
      <w:r w:rsidR="00271032">
        <w:rPr>
          <w:rFonts w:cs="Arial"/>
          <w:b/>
          <w:sz w:val="28"/>
          <w:szCs w:val="24"/>
        </w:rPr>
        <w:t xml:space="preserve">Reflection </w:t>
      </w:r>
      <w:r w:rsidR="00397338">
        <w:rPr>
          <w:rFonts w:cs="Arial"/>
          <w:b/>
          <w:sz w:val="28"/>
          <w:szCs w:val="24"/>
        </w:rPr>
        <w:t>Tool</w:t>
      </w:r>
      <w:r w:rsidR="00FC543E" w:rsidRPr="002758FD">
        <w:rPr>
          <w:rFonts w:cs="Arial"/>
          <w:b/>
          <w:sz w:val="28"/>
          <w:szCs w:val="24"/>
        </w:rPr>
        <w:t xml:space="preserve"> </w:t>
      </w:r>
    </w:p>
    <w:tbl>
      <w:tblPr>
        <w:tblW w:w="1476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1160"/>
        <w:gridCol w:w="1260"/>
      </w:tblGrid>
      <w:tr w:rsidR="00C12587" w:rsidRPr="0056354C" w:rsidTr="00C12587">
        <w:tc>
          <w:tcPr>
            <w:tcW w:w="2340" w:type="dxa"/>
            <w:shd w:val="clear" w:color="auto" w:fill="8DB3E2"/>
          </w:tcPr>
          <w:p w:rsidR="00C12587" w:rsidRPr="008E434E" w:rsidRDefault="00C12587" w:rsidP="00C01DD3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8E434E">
              <w:rPr>
                <w:rFonts w:cs="Arial"/>
                <w:b/>
                <w:sz w:val="24"/>
              </w:rPr>
              <w:t>ADAPTIVE AREAS</w:t>
            </w:r>
          </w:p>
          <w:p w:rsidR="00C12587" w:rsidRPr="008E434E" w:rsidRDefault="00C12587" w:rsidP="00C01DD3">
            <w:pPr>
              <w:spacing w:after="0" w:line="240" w:lineRule="auto"/>
              <w:rPr>
                <w:rFonts w:cs="Arial"/>
                <w:b/>
                <w:sz w:val="24"/>
              </w:rPr>
            </w:pPr>
          </w:p>
        </w:tc>
        <w:tc>
          <w:tcPr>
            <w:tcW w:w="11160" w:type="dxa"/>
            <w:shd w:val="clear" w:color="auto" w:fill="8DB3E2"/>
          </w:tcPr>
          <w:p w:rsidR="00C12587" w:rsidRPr="008E434E" w:rsidRDefault="00C12587" w:rsidP="003F6917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8E434E">
              <w:rPr>
                <w:rFonts w:cs="Arial"/>
                <w:b/>
                <w:sz w:val="24"/>
              </w:rPr>
              <w:t>PRACTICES</w:t>
            </w:r>
          </w:p>
        </w:tc>
        <w:tc>
          <w:tcPr>
            <w:tcW w:w="1260" w:type="dxa"/>
            <w:shd w:val="clear" w:color="auto" w:fill="8DB3E2"/>
          </w:tcPr>
          <w:p w:rsidR="00C12587" w:rsidRPr="00397338" w:rsidRDefault="00C12587" w:rsidP="00C01DD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Assessment</w:t>
            </w:r>
          </w:p>
        </w:tc>
      </w:tr>
      <w:tr w:rsidR="00C12587" w:rsidRPr="0056354C" w:rsidTr="008E434E">
        <w:trPr>
          <w:trHeight w:val="350"/>
        </w:trPr>
        <w:tc>
          <w:tcPr>
            <w:tcW w:w="2340" w:type="dxa"/>
            <w:vMerge w:val="restart"/>
            <w:shd w:val="clear" w:color="auto" w:fill="DAEEF3"/>
          </w:tcPr>
          <w:p w:rsidR="00A41B93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  <w:p w:rsidR="00C12587" w:rsidRPr="00C12587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 w:rsidR="00C12587" w:rsidRPr="00C12587">
              <w:rPr>
                <w:rFonts w:cs="Arial"/>
                <w:b/>
              </w:rPr>
              <w:t>Elephants in the Room</w:t>
            </w: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Crises are identified quickly and brought up for discussion immediately.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rPr>
          <w:trHeight w:val="350"/>
        </w:trPr>
        <w:tc>
          <w:tcPr>
            <w:tcW w:w="2340" w:type="dxa"/>
            <w:vMerge/>
            <w:shd w:val="clear" w:color="auto" w:fill="DAEEF3"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3924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We are intentional ab</w:t>
            </w:r>
            <w:r w:rsidR="0039242B">
              <w:rPr>
                <w:rFonts w:cs="Arial"/>
              </w:rPr>
              <w:t>out speaking the unspeakable in all parts of the organization</w:t>
            </w:r>
            <w:r>
              <w:rPr>
                <w:rFonts w:cs="Arial"/>
              </w:rPr>
              <w:t>.</w:t>
            </w:r>
            <w:r w:rsidR="00C12587" w:rsidRPr="0056354C">
              <w:rPr>
                <w:rFonts w:cs="Arial"/>
              </w:rPr>
              <w:t xml:space="preserve"> 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rPr>
          <w:trHeight w:val="350"/>
        </w:trPr>
        <w:tc>
          <w:tcPr>
            <w:tcW w:w="2340" w:type="dxa"/>
            <w:vMerge/>
            <w:shd w:val="clear" w:color="auto" w:fill="DAEEF3"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We place a high value on </w:t>
            </w:r>
            <w:r w:rsidR="00271032">
              <w:rPr>
                <w:rFonts w:cs="Arial"/>
              </w:rPr>
              <w:t xml:space="preserve">authentic expression and </w:t>
            </w:r>
            <w:r>
              <w:rPr>
                <w:rFonts w:cs="Arial"/>
              </w:rPr>
              <w:t>candor.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rPr>
          <w:trHeight w:val="350"/>
        </w:trPr>
        <w:tc>
          <w:tcPr>
            <w:tcW w:w="2340" w:type="dxa"/>
            <w:vMerge w:val="restart"/>
          </w:tcPr>
          <w:p w:rsidR="00C12587" w:rsidRPr="00C12587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br/>
            </w:r>
            <w:r w:rsidR="00C12587" w:rsidRPr="00C12587">
              <w:rPr>
                <w:rFonts w:cs="Arial"/>
                <w:b/>
              </w:rPr>
              <w:t>Organizational Accountability</w:t>
            </w:r>
          </w:p>
        </w:tc>
        <w:tc>
          <w:tcPr>
            <w:tcW w:w="11160" w:type="dxa"/>
          </w:tcPr>
          <w:p w:rsidR="00C12587" w:rsidRPr="0056354C" w:rsidRDefault="0039242B" w:rsidP="00171D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Everyone, regardless of </w:t>
            </w:r>
            <w:r w:rsidR="00EF3C4F">
              <w:rPr>
                <w:rFonts w:cs="Arial"/>
              </w:rPr>
              <w:t>title/</w:t>
            </w:r>
            <w:r>
              <w:rPr>
                <w:rFonts w:cs="Arial"/>
              </w:rPr>
              <w:t xml:space="preserve">position, understands </w:t>
            </w:r>
            <w:r w:rsidR="00171DFB">
              <w:rPr>
                <w:rFonts w:cs="Arial"/>
              </w:rPr>
              <w:t>their organizational accountability.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rPr>
          <w:trHeight w:val="350"/>
        </w:trPr>
        <w:tc>
          <w:tcPr>
            <w:tcW w:w="2340" w:type="dxa"/>
            <w:vMerge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C12587" w:rsidRPr="0056354C" w:rsidRDefault="0039242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We all</w:t>
            </w:r>
            <w:r w:rsidR="00171DFB">
              <w:rPr>
                <w:rFonts w:cs="Arial"/>
              </w:rPr>
              <w:t xml:space="preserve"> place organizational goals above functional and/or programmatic goals.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rPr>
          <w:trHeight w:val="350"/>
        </w:trPr>
        <w:tc>
          <w:tcPr>
            <w:tcW w:w="2340" w:type="dxa"/>
            <w:vMerge w:val="restart"/>
            <w:shd w:val="clear" w:color="auto" w:fill="DAEEF3"/>
          </w:tcPr>
          <w:p w:rsidR="00A41B93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  <w:p w:rsidR="00C12587" w:rsidRPr="00C12587" w:rsidRDefault="00F31B88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Independent</w:t>
            </w:r>
            <w:r>
              <w:rPr>
                <w:rFonts w:cs="Arial"/>
                <w:b/>
              </w:rPr>
              <w:br/>
            </w:r>
            <w:r w:rsidR="00C12587" w:rsidRPr="00C12587">
              <w:rPr>
                <w:rFonts w:cs="Arial"/>
                <w:b/>
              </w:rPr>
              <w:t>Judgment</w:t>
            </w:r>
          </w:p>
        </w:tc>
        <w:tc>
          <w:tcPr>
            <w:tcW w:w="11160" w:type="dxa"/>
            <w:shd w:val="clear" w:color="auto" w:fill="DAEEF3"/>
          </w:tcPr>
          <w:p w:rsidR="00C12587" w:rsidRPr="0056354C" w:rsidRDefault="0039242B" w:rsidP="003924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There are structures, practices and</w:t>
            </w:r>
            <w:r w:rsidR="00171DFB">
              <w:rPr>
                <w:rFonts w:cs="Arial"/>
              </w:rPr>
              <w:t xml:space="preserve"> support</w:t>
            </w:r>
            <w:r w:rsidR="008E47C6">
              <w:rPr>
                <w:rFonts w:cs="Arial"/>
              </w:rPr>
              <w:t>s</w:t>
            </w:r>
            <w:r w:rsidR="00171DFB">
              <w:rPr>
                <w:rFonts w:cs="Arial"/>
              </w:rPr>
              <w:t xml:space="preserve"> in place for individuals to exercise their own judgment.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rPr>
          <w:trHeight w:val="350"/>
        </w:trPr>
        <w:tc>
          <w:tcPr>
            <w:tcW w:w="2340" w:type="dxa"/>
            <w:vMerge/>
            <w:shd w:val="clear" w:color="auto" w:fill="DAEEF3"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There are </w:t>
            </w:r>
            <w:r w:rsidR="0039242B">
              <w:rPr>
                <w:rFonts w:cs="Arial"/>
              </w:rPr>
              <w:t xml:space="preserve">structures, practices and supports </w:t>
            </w:r>
            <w:r>
              <w:rPr>
                <w:rFonts w:cs="Arial"/>
              </w:rPr>
              <w:t>in place for individuals to take risks.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c>
          <w:tcPr>
            <w:tcW w:w="2340" w:type="dxa"/>
            <w:vMerge/>
            <w:shd w:val="clear" w:color="auto" w:fill="DAEEF3"/>
          </w:tcPr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3924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When new ideas or programs/services </w:t>
            </w:r>
            <w:r w:rsidR="0039242B">
              <w:rPr>
                <w:rFonts w:cs="Arial"/>
              </w:rPr>
              <w:t>fail</w:t>
            </w:r>
            <w:r>
              <w:rPr>
                <w:rFonts w:cs="Arial"/>
              </w:rPr>
              <w:t>, it’s seen</w:t>
            </w:r>
            <w:r w:rsidR="0039242B">
              <w:rPr>
                <w:rFonts w:cs="Arial"/>
              </w:rPr>
              <w:t xml:space="preserve"> as an opportunity for learning, not </w:t>
            </w:r>
            <w:r>
              <w:rPr>
                <w:rFonts w:cs="Arial"/>
              </w:rPr>
              <w:t xml:space="preserve">as a </w:t>
            </w:r>
            <w:r w:rsidR="008E47C6">
              <w:rPr>
                <w:rFonts w:cs="Arial"/>
              </w:rPr>
              <w:t>negative</w:t>
            </w:r>
            <w:r>
              <w:rPr>
                <w:rFonts w:cs="Arial"/>
              </w:rPr>
              <w:t>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9242B">
        <w:trPr>
          <w:trHeight w:val="422"/>
        </w:trPr>
        <w:tc>
          <w:tcPr>
            <w:tcW w:w="2340" w:type="dxa"/>
            <w:vMerge w:val="restart"/>
            <w:shd w:val="clear" w:color="auto" w:fill="auto"/>
          </w:tcPr>
          <w:p w:rsidR="00A41B93" w:rsidRDefault="008E434E" w:rsidP="00A41B93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  <w:p w:rsidR="00171DFB" w:rsidRPr="00C12587" w:rsidRDefault="008E434E" w:rsidP="00F31B8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 w:rsidR="00171DFB" w:rsidRPr="00C12587">
              <w:rPr>
                <w:rFonts w:cs="Arial"/>
                <w:b/>
              </w:rPr>
              <w:t>Leadership</w:t>
            </w:r>
            <w:r w:rsidR="00F31B88">
              <w:rPr>
                <w:rFonts w:cs="Arial"/>
                <w:b/>
              </w:rPr>
              <w:br/>
            </w:r>
            <w:r w:rsidR="00171DFB" w:rsidRPr="00C12587">
              <w:rPr>
                <w:rFonts w:cs="Arial"/>
                <w:b/>
              </w:rPr>
              <w:t>Capacity</w:t>
            </w:r>
            <w:r w:rsidR="00171DFB">
              <w:rPr>
                <w:rFonts w:cs="Arial"/>
                <w:b/>
              </w:rPr>
              <w:t xml:space="preserve"> </w:t>
            </w:r>
          </w:p>
        </w:tc>
        <w:tc>
          <w:tcPr>
            <w:tcW w:w="11160" w:type="dxa"/>
          </w:tcPr>
          <w:p w:rsidR="00171DFB" w:rsidRPr="0056354C" w:rsidRDefault="00171DFB" w:rsidP="00271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organization invests in</w:t>
            </w:r>
            <w:r w:rsidR="00271032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="0039242B">
              <w:rPr>
                <w:rFonts w:cs="Arial"/>
              </w:rPr>
              <w:t>and actively engages in</w:t>
            </w:r>
            <w:r w:rsidR="00271032">
              <w:rPr>
                <w:rFonts w:cs="Arial"/>
              </w:rPr>
              <w:t>,</w:t>
            </w:r>
            <w:r w:rsidR="0039242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professional development</w:t>
            </w:r>
            <w:r w:rsidR="0039242B">
              <w:rPr>
                <w:rFonts w:cs="Arial"/>
              </w:rPr>
              <w:t xml:space="preserve"> for all staff.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9242B">
        <w:tc>
          <w:tcPr>
            <w:tcW w:w="2340" w:type="dxa"/>
            <w:vMerge/>
            <w:shd w:val="clear" w:color="auto" w:fill="auto"/>
          </w:tcPr>
          <w:p w:rsidR="00171DFB" w:rsidRPr="00C12587" w:rsidRDefault="00171DFB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171DFB" w:rsidRPr="0056354C" w:rsidRDefault="00171DFB" w:rsidP="00171D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There are </w:t>
            </w:r>
            <w:r w:rsidR="0039242B">
              <w:rPr>
                <w:rFonts w:cs="Arial"/>
              </w:rPr>
              <w:t xml:space="preserve">structures, practices and supports </w:t>
            </w:r>
            <w:r>
              <w:rPr>
                <w:rFonts w:cs="Arial"/>
              </w:rPr>
              <w:t>in place for staff to develop leadership skills and gain leadership experiences.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9242B">
        <w:tc>
          <w:tcPr>
            <w:tcW w:w="2340" w:type="dxa"/>
            <w:vMerge/>
            <w:shd w:val="clear" w:color="auto" w:fill="auto"/>
          </w:tcPr>
          <w:p w:rsidR="00171DFB" w:rsidRPr="00C12587" w:rsidRDefault="00171DFB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171DFB" w:rsidRPr="0056354C" w:rsidRDefault="00171DFB" w:rsidP="00271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There is an expectation that </w:t>
            </w:r>
            <w:r w:rsidR="00271032">
              <w:rPr>
                <w:rFonts w:cs="Arial"/>
              </w:rPr>
              <w:t>managers</w:t>
            </w:r>
            <w:r>
              <w:rPr>
                <w:rFonts w:cs="Arial"/>
              </w:rPr>
              <w:t xml:space="preserve"> develop (support, mentor, and coach) staff </w:t>
            </w:r>
            <w:r w:rsidR="008E47C6">
              <w:rPr>
                <w:rFonts w:cs="Arial"/>
              </w:rPr>
              <w:t>at all levels of</w:t>
            </w:r>
            <w:r>
              <w:rPr>
                <w:rFonts w:cs="Arial"/>
              </w:rPr>
              <w:t xml:space="preserve"> the organization.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39242B">
        <w:trPr>
          <w:trHeight w:val="350"/>
        </w:trPr>
        <w:tc>
          <w:tcPr>
            <w:tcW w:w="2340" w:type="dxa"/>
            <w:vMerge/>
            <w:shd w:val="clear" w:color="auto" w:fill="auto"/>
          </w:tcPr>
          <w:p w:rsidR="00171DFB" w:rsidRPr="00C12587" w:rsidRDefault="00171DFB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171DFB" w:rsidRDefault="00271032" w:rsidP="00271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We apply an equity framework to our leadership development approach, taking race, gender, class, and difference into consideration when providing opportunities.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rPr>
          <w:trHeight w:val="440"/>
        </w:trPr>
        <w:tc>
          <w:tcPr>
            <w:tcW w:w="2340" w:type="dxa"/>
            <w:vMerge w:val="restart"/>
            <w:shd w:val="clear" w:color="auto" w:fill="DAEEF3"/>
          </w:tcPr>
          <w:p w:rsidR="00A41B93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  <w:p w:rsidR="00F31B88" w:rsidRDefault="00F31B88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C12587" w:rsidRPr="00C12587" w:rsidRDefault="00C12587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12587">
              <w:rPr>
                <w:rFonts w:cs="Arial"/>
                <w:b/>
              </w:rPr>
              <w:t>Cont</w:t>
            </w:r>
            <w:r w:rsidR="00F31B88">
              <w:rPr>
                <w:rFonts w:cs="Arial"/>
                <w:b/>
              </w:rPr>
              <w:t>inuous</w:t>
            </w:r>
            <w:r w:rsidR="00F31B88">
              <w:rPr>
                <w:rFonts w:cs="Arial"/>
                <w:b/>
              </w:rPr>
              <w:br/>
            </w:r>
            <w:r w:rsidRPr="00C12587">
              <w:rPr>
                <w:rFonts w:cs="Arial"/>
                <w:b/>
              </w:rPr>
              <w:t>Learning</w:t>
            </w:r>
          </w:p>
        </w:tc>
        <w:tc>
          <w:tcPr>
            <w:tcW w:w="11160" w:type="dxa"/>
            <w:shd w:val="clear" w:color="auto" w:fill="DAEEF3"/>
          </w:tcPr>
          <w:p w:rsidR="00C12587" w:rsidRPr="0056354C" w:rsidRDefault="00171DFB" w:rsidP="003924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 organization </w:t>
            </w:r>
            <w:r w:rsidR="0039242B">
              <w:rPr>
                <w:rFonts w:cs="Arial"/>
              </w:rPr>
              <w:t xml:space="preserve">makes </w:t>
            </w:r>
            <w:r>
              <w:rPr>
                <w:rFonts w:cs="Arial"/>
              </w:rPr>
              <w:t xml:space="preserve">time for individual and collective reflection, </w:t>
            </w:r>
            <w:r w:rsidR="008E47C6">
              <w:rPr>
                <w:rFonts w:cs="Arial"/>
              </w:rPr>
              <w:t>including lessons learned</w:t>
            </w:r>
            <w:r>
              <w:rPr>
                <w:rFonts w:cs="Arial"/>
              </w:rPr>
              <w:t>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171DFB" w:rsidRPr="0056354C" w:rsidTr="008E434E">
        <w:trPr>
          <w:trHeight w:val="440"/>
        </w:trPr>
        <w:tc>
          <w:tcPr>
            <w:tcW w:w="2340" w:type="dxa"/>
            <w:vMerge/>
            <w:shd w:val="clear" w:color="auto" w:fill="DAEEF3"/>
          </w:tcPr>
          <w:p w:rsidR="00171DFB" w:rsidRPr="00C12587" w:rsidRDefault="00171DFB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171DFB" w:rsidRPr="0056354C" w:rsidRDefault="00171DFB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organization devotes resources to bring in diverse perspectives on how the organization can improve its work.</w:t>
            </w:r>
          </w:p>
        </w:tc>
        <w:tc>
          <w:tcPr>
            <w:tcW w:w="1260" w:type="dxa"/>
          </w:tcPr>
          <w:p w:rsidR="00171DFB" w:rsidRPr="0056354C" w:rsidRDefault="00171DFB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8E434E" w:rsidRPr="0056354C" w:rsidTr="008E434E">
        <w:tc>
          <w:tcPr>
            <w:tcW w:w="2340" w:type="dxa"/>
            <w:vMerge/>
            <w:shd w:val="clear" w:color="auto" w:fill="DAEEF3"/>
          </w:tcPr>
          <w:p w:rsidR="008E434E" w:rsidRPr="00C12587" w:rsidRDefault="008E434E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60" w:type="dxa"/>
            <w:shd w:val="clear" w:color="auto" w:fill="DAEEF3"/>
          </w:tcPr>
          <w:p w:rsidR="008E434E" w:rsidRDefault="008E434E" w:rsidP="003924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organization recognizes when certain services models</w:t>
            </w:r>
            <w:r w:rsidR="0039242B">
              <w:rPr>
                <w:rFonts w:cs="Arial"/>
              </w:rPr>
              <w:t>, programs</w:t>
            </w:r>
            <w:r>
              <w:rPr>
                <w:rFonts w:cs="Arial"/>
              </w:rPr>
              <w:t xml:space="preserve"> or </w:t>
            </w:r>
            <w:r w:rsidR="0039242B">
              <w:rPr>
                <w:rFonts w:cs="Arial"/>
              </w:rPr>
              <w:t>activities</w:t>
            </w:r>
            <w:r>
              <w:rPr>
                <w:rFonts w:cs="Arial"/>
              </w:rPr>
              <w:t xml:space="preserve"> need to be discarded and new ones developed.</w:t>
            </w:r>
          </w:p>
        </w:tc>
        <w:tc>
          <w:tcPr>
            <w:tcW w:w="1260" w:type="dxa"/>
          </w:tcPr>
          <w:p w:rsidR="008E434E" w:rsidRPr="0056354C" w:rsidRDefault="008E434E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C12587" w:rsidRPr="0056354C" w:rsidTr="008E434E">
        <w:trPr>
          <w:trHeight w:val="422"/>
        </w:trPr>
        <w:tc>
          <w:tcPr>
            <w:tcW w:w="2340" w:type="dxa"/>
            <w:vMerge/>
            <w:shd w:val="clear" w:color="auto" w:fill="DAEEF3"/>
          </w:tcPr>
          <w:p w:rsidR="00C12587" w:rsidRPr="0056354C" w:rsidRDefault="00C12587" w:rsidP="008E434E">
            <w:pPr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160" w:type="dxa"/>
            <w:shd w:val="clear" w:color="auto" w:fill="DAEEF3"/>
          </w:tcPr>
          <w:p w:rsidR="00C12587" w:rsidRPr="0056354C" w:rsidRDefault="008E434E" w:rsidP="008E47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The organization has a process in place for knowledge sharing </w:t>
            </w:r>
            <w:r w:rsidR="008E47C6">
              <w:rPr>
                <w:rFonts w:cs="Arial"/>
              </w:rPr>
              <w:t>among</w:t>
            </w:r>
            <w:r>
              <w:rPr>
                <w:rFonts w:cs="Arial"/>
              </w:rPr>
              <w:t xml:space="preserve"> individuals and </w:t>
            </w:r>
            <w:r w:rsidR="008E47C6">
              <w:rPr>
                <w:rFonts w:cs="Arial"/>
              </w:rPr>
              <w:t xml:space="preserve">across </w:t>
            </w:r>
            <w:r>
              <w:rPr>
                <w:rFonts w:cs="Arial"/>
              </w:rPr>
              <w:t>teams.</w:t>
            </w:r>
          </w:p>
        </w:tc>
        <w:tc>
          <w:tcPr>
            <w:tcW w:w="1260" w:type="dxa"/>
          </w:tcPr>
          <w:p w:rsidR="00C12587" w:rsidRPr="0056354C" w:rsidRDefault="00C12587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271032" w:rsidRPr="0056354C" w:rsidTr="008E434E">
        <w:trPr>
          <w:trHeight w:val="512"/>
        </w:trPr>
        <w:tc>
          <w:tcPr>
            <w:tcW w:w="2340" w:type="dxa"/>
            <w:vMerge w:val="restart"/>
          </w:tcPr>
          <w:p w:rsidR="00271032" w:rsidRDefault="00271032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  <w:p w:rsidR="00271032" w:rsidRPr="00C12587" w:rsidRDefault="00271032" w:rsidP="008E434E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Systems</w:t>
            </w:r>
            <w:r>
              <w:rPr>
                <w:rFonts w:cs="Arial"/>
                <w:b/>
              </w:rPr>
              <w:br/>
            </w:r>
            <w:r w:rsidRPr="00C12587">
              <w:rPr>
                <w:rFonts w:cs="Arial"/>
                <w:b/>
              </w:rPr>
              <w:t>Thinking</w:t>
            </w:r>
          </w:p>
        </w:tc>
        <w:tc>
          <w:tcPr>
            <w:tcW w:w="11160" w:type="dxa"/>
          </w:tcPr>
          <w:p w:rsidR="00271032" w:rsidRPr="0056354C" w:rsidRDefault="00271032" w:rsidP="00FC54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The organization’s problem solving process first looks to systems for root causes before looking at individual performance.</w:t>
            </w:r>
          </w:p>
        </w:tc>
        <w:tc>
          <w:tcPr>
            <w:tcW w:w="1260" w:type="dxa"/>
          </w:tcPr>
          <w:p w:rsidR="00271032" w:rsidRPr="0056354C" w:rsidRDefault="00271032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271032" w:rsidRPr="0056354C" w:rsidTr="00C12587">
        <w:trPr>
          <w:trHeight w:val="683"/>
        </w:trPr>
        <w:tc>
          <w:tcPr>
            <w:tcW w:w="2340" w:type="dxa"/>
            <w:vMerge/>
          </w:tcPr>
          <w:p w:rsidR="00271032" w:rsidRPr="00C12587" w:rsidRDefault="00271032" w:rsidP="00C01DD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271032" w:rsidRDefault="00271032" w:rsidP="003924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Unpopular or critical perspectives are valued as important perspectives about the whole system rather than as individual troublemakers.</w:t>
            </w:r>
          </w:p>
        </w:tc>
        <w:tc>
          <w:tcPr>
            <w:tcW w:w="1260" w:type="dxa"/>
          </w:tcPr>
          <w:p w:rsidR="00271032" w:rsidRPr="0056354C" w:rsidRDefault="00271032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271032" w:rsidRPr="0056354C" w:rsidTr="00C12587">
        <w:trPr>
          <w:trHeight w:val="683"/>
        </w:trPr>
        <w:tc>
          <w:tcPr>
            <w:tcW w:w="2340" w:type="dxa"/>
            <w:vMerge/>
          </w:tcPr>
          <w:p w:rsidR="00271032" w:rsidRPr="00C12587" w:rsidRDefault="00271032" w:rsidP="00C01DD3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60" w:type="dxa"/>
          </w:tcPr>
          <w:p w:rsidR="00271032" w:rsidRDefault="00271032" w:rsidP="00271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We take an equity approach when initiating change, understanding that every change impacts staff differently depending on their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relative </w:t>
            </w:r>
            <w:r>
              <w:rPr>
                <w:rFonts w:cs="Arial"/>
              </w:rPr>
              <w:t>power and privilege within the organization based on job positions, tenure, and social identities</w:t>
            </w:r>
            <w:r>
              <w:rPr>
                <w:rFonts w:cs="Arial"/>
              </w:rPr>
              <w:t xml:space="preserve">.  </w:t>
            </w:r>
          </w:p>
        </w:tc>
        <w:tc>
          <w:tcPr>
            <w:tcW w:w="1260" w:type="dxa"/>
          </w:tcPr>
          <w:p w:rsidR="00271032" w:rsidRPr="0056354C" w:rsidRDefault="00271032" w:rsidP="00C01DD3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:rsidR="00FC543E" w:rsidRPr="00271032" w:rsidRDefault="00394D9B" w:rsidP="00271032">
      <w:pPr>
        <w:ind w:left="-900"/>
        <w:rPr>
          <w:rFonts w:cs="Arial"/>
          <w:sz w:val="20"/>
        </w:rPr>
      </w:pPr>
      <w:r w:rsidRPr="00271032">
        <w:rPr>
          <w:rFonts w:cs="Arial"/>
          <w:sz w:val="20"/>
        </w:rPr>
        <w:pict>
          <v:shape id="_x0000_s1031" type="#_x0000_t202" style="position:absolute;left:0;text-align:left;margin-left:531.4pt;margin-top:3.65pt;width:181.1pt;height:53.3pt;z-index:251658240;mso-position-horizontal-relative:text;mso-position-vertical-relative:text;mso-width-relative:margin;mso-height-relative:margin" stroked="f">
            <v:textbox style="mso-next-textbox:#_x0000_s1031">
              <w:txbxContent>
                <w:p w:rsidR="00171DFB" w:rsidRDefault="00394D9B">
                  <w:r>
                    <w:rPr>
                      <w:rFonts w:cs="Arial"/>
                      <w:b/>
                      <w:sz w:val="28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42.5pt;height:47.25pt">
                        <v:imagedata r:id="rId5" o:title="CP_Logo_big"/>
                      </v:shape>
                    </w:pict>
                  </w:r>
                </w:p>
              </w:txbxContent>
            </v:textbox>
          </v:shape>
        </w:pict>
      </w:r>
      <w:r w:rsidR="008E47C6" w:rsidRPr="00271032">
        <w:rPr>
          <w:rFonts w:cs="Arial"/>
          <w:sz w:val="20"/>
        </w:rPr>
        <w:t>Adapted</w:t>
      </w:r>
      <w:r w:rsidR="00271032" w:rsidRPr="00271032">
        <w:rPr>
          <w:rFonts w:cs="Arial"/>
          <w:sz w:val="20"/>
        </w:rPr>
        <w:t xml:space="preserve">, in part, </w:t>
      </w:r>
      <w:r w:rsidR="008E47C6" w:rsidRPr="00271032">
        <w:rPr>
          <w:rFonts w:cs="Arial"/>
          <w:sz w:val="20"/>
        </w:rPr>
        <w:t xml:space="preserve">from </w:t>
      </w:r>
      <w:r w:rsidR="008E47C6" w:rsidRPr="00271032">
        <w:rPr>
          <w:rFonts w:cs="Arial"/>
          <w:sz w:val="20"/>
          <w:u w:val="single"/>
        </w:rPr>
        <w:t>The Practice of Adaptive Leadership</w:t>
      </w:r>
      <w:r w:rsidR="00146F8A" w:rsidRPr="00271032">
        <w:rPr>
          <w:rFonts w:cs="Arial"/>
          <w:sz w:val="20"/>
        </w:rPr>
        <w:t xml:space="preserve"> (</w:t>
      </w:r>
      <w:r w:rsidR="008E47C6" w:rsidRPr="00271032">
        <w:rPr>
          <w:rFonts w:cs="Arial"/>
          <w:sz w:val="20"/>
        </w:rPr>
        <w:t xml:space="preserve">Heifetz, </w:t>
      </w:r>
      <w:proofErr w:type="spellStart"/>
      <w:r w:rsidR="008E47C6" w:rsidRPr="00271032">
        <w:rPr>
          <w:rFonts w:cs="Arial"/>
          <w:sz w:val="20"/>
        </w:rPr>
        <w:t>Grashow</w:t>
      </w:r>
      <w:proofErr w:type="spellEnd"/>
      <w:r w:rsidR="008E47C6" w:rsidRPr="00271032">
        <w:rPr>
          <w:rFonts w:cs="Arial"/>
          <w:sz w:val="20"/>
        </w:rPr>
        <w:t xml:space="preserve"> and </w:t>
      </w:r>
      <w:proofErr w:type="spellStart"/>
      <w:r w:rsidR="008E47C6" w:rsidRPr="00271032">
        <w:rPr>
          <w:rFonts w:cs="Arial"/>
          <w:sz w:val="20"/>
        </w:rPr>
        <w:t>Linsky</w:t>
      </w:r>
      <w:proofErr w:type="spellEnd"/>
      <w:r w:rsidR="00146F8A" w:rsidRPr="00271032">
        <w:rPr>
          <w:rFonts w:cs="Arial"/>
          <w:sz w:val="20"/>
        </w:rPr>
        <w:t>)</w:t>
      </w:r>
      <w:r w:rsidR="00271032">
        <w:rPr>
          <w:rFonts w:cs="Arial"/>
          <w:sz w:val="20"/>
        </w:rPr>
        <w:t xml:space="preserve">, </w:t>
      </w:r>
      <w:bookmarkStart w:id="0" w:name="_GoBack"/>
      <w:bookmarkEnd w:id="0"/>
      <w:r w:rsidR="008E47C6" w:rsidRPr="00271032">
        <w:rPr>
          <w:rFonts w:cs="Arial"/>
          <w:sz w:val="20"/>
          <w:u w:val="single"/>
        </w:rPr>
        <w:t>The Fifth Discipline</w:t>
      </w:r>
      <w:r w:rsidR="00146F8A" w:rsidRPr="00271032">
        <w:rPr>
          <w:rFonts w:cs="Arial"/>
          <w:sz w:val="20"/>
        </w:rPr>
        <w:t xml:space="preserve"> (</w:t>
      </w:r>
      <w:proofErr w:type="spellStart"/>
      <w:r w:rsidR="008E47C6" w:rsidRPr="00271032">
        <w:rPr>
          <w:rFonts w:cs="Arial"/>
          <w:sz w:val="20"/>
        </w:rPr>
        <w:t>Senge</w:t>
      </w:r>
      <w:proofErr w:type="spellEnd"/>
      <w:r w:rsidR="00146F8A" w:rsidRPr="00271032">
        <w:rPr>
          <w:rFonts w:cs="Arial"/>
          <w:sz w:val="20"/>
        </w:rPr>
        <w:t>)</w:t>
      </w:r>
      <w:r w:rsidR="00271032">
        <w:rPr>
          <w:rFonts w:cs="Arial"/>
          <w:sz w:val="20"/>
        </w:rPr>
        <w:t xml:space="preserve"> and CompassPoint.</w:t>
      </w:r>
    </w:p>
    <w:sectPr w:rsidR="00FC543E" w:rsidRPr="00271032" w:rsidSect="00397338">
      <w:pgSz w:w="15840" w:h="12240" w:orient="landscape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37EF8"/>
    <w:multiLevelType w:val="hybridMultilevel"/>
    <w:tmpl w:val="E2E8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4594B"/>
    <w:multiLevelType w:val="hybridMultilevel"/>
    <w:tmpl w:val="2BA23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65E2F"/>
    <w:multiLevelType w:val="hybridMultilevel"/>
    <w:tmpl w:val="E2E8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40C"/>
    <w:rsid w:val="00146F8A"/>
    <w:rsid w:val="00171DFB"/>
    <w:rsid w:val="00271032"/>
    <w:rsid w:val="0039242B"/>
    <w:rsid w:val="00394D9B"/>
    <w:rsid w:val="00397338"/>
    <w:rsid w:val="003F6917"/>
    <w:rsid w:val="00452D70"/>
    <w:rsid w:val="004E0378"/>
    <w:rsid w:val="004F5B70"/>
    <w:rsid w:val="005B644A"/>
    <w:rsid w:val="006A5EB9"/>
    <w:rsid w:val="006C09E0"/>
    <w:rsid w:val="008E434E"/>
    <w:rsid w:val="008E47C6"/>
    <w:rsid w:val="009C0496"/>
    <w:rsid w:val="009C7110"/>
    <w:rsid w:val="00A41B93"/>
    <w:rsid w:val="00A57B87"/>
    <w:rsid w:val="00AE04AB"/>
    <w:rsid w:val="00BF229C"/>
    <w:rsid w:val="00C01DD3"/>
    <w:rsid w:val="00C0240C"/>
    <w:rsid w:val="00C12587"/>
    <w:rsid w:val="00C61EF8"/>
    <w:rsid w:val="00C95803"/>
    <w:rsid w:val="00DE7FC8"/>
    <w:rsid w:val="00EE2513"/>
    <w:rsid w:val="00EF3C4F"/>
    <w:rsid w:val="00EF6288"/>
    <w:rsid w:val="00F10FBD"/>
    <w:rsid w:val="00F31B88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" shadowcolor="none"/>
    </o:shapedefaults>
    <o:shapelayout v:ext="edit">
      <o:idmap v:ext="edit" data="1"/>
    </o:shapelayout>
  </w:shapeDefaults>
  <w:decimalSymbol w:val="."/>
  <w:listSeparator w:val=","/>
  <w15:docId w15:val="{B06E1580-E7AF-4571-8F4C-1BC6F496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4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4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Calcott</dc:creator>
  <cp:keywords/>
  <dc:description/>
  <cp:lastModifiedBy>Marla Cornelius</cp:lastModifiedBy>
  <cp:revision>6</cp:revision>
  <cp:lastPrinted>2010-05-20T18:26:00Z</cp:lastPrinted>
  <dcterms:created xsi:type="dcterms:W3CDTF">2012-01-05T20:18:00Z</dcterms:created>
  <dcterms:modified xsi:type="dcterms:W3CDTF">2016-04-18T18:56:00Z</dcterms:modified>
</cp:coreProperties>
</file>